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B7" w:rsidRPr="00D347B7" w:rsidRDefault="00D347B7" w:rsidP="001F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347B7" w:rsidRPr="00D347B7" w:rsidTr="00D347B7">
        <w:tc>
          <w:tcPr>
            <w:tcW w:w="13992" w:type="dxa"/>
            <w:shd w:val="clear" w:color="auto" w:fill="B2A1C7"/>
          </w:tcPr>
          <w:p w:rsidR="00D347B7" w:rsidRPr="00D347B7" w:rsidRDefault="00D347B7" w:rsidP="00D347B7">
            <w:pPr>
              <w:pBdr>
                <w:bottom w:val="single" w:sz="8" w:space="4" w:color="4F81BD"/>
              </w:pBdr>
              <w:spacing w:after="300"/>
              <w:contextualSpacing/>
              <w:rPr>
                <w:rFonts w:ascii="Cambria" w:hAnsi="Cambria"/>
                <w:spacing w:val="5"/>
                <w:kern w:val="28"/>
                <w:sz w:val="20"/>
                <w:szCs w:val="20"/>
                <w:lang w:eastAsia="sk-SK"/>
              </w:rPr>
            </w:pPr>
            <w:r w:rsidRPr="00D347B7">
              <w:rPr>
                <w:rFonts w:ascii="Cambria" w:hAnsi="Cambria"/>
                <w:spacing w:val="5"/>
                <w:kern w:val="28"/>
                <w:sz w:val="52"/>
                <w:szCs w:val="52"/>
                <w:lang w:eastAsia="sk-SK"/>
              </w:rPr>
              <w:t>Doplňujúce monitorovacie údaje</w:t>
            </w:r>
            <w:r w:rsidRPr="00D347B7">
              <w:rPr>
                <w:rFonts w:ascii="Cambria" w:hAnsi="Cambria"/>
                <w:spacing w:val="5"/>
                <w:kern w:val="28"/>
                <w:sz w:val="52"/>
                <w:szCs w:val="52"/>
                <w:vertAlign w:val="superscript"/>
                <w:lang w:eastAsia="sk-SK"/>
              </w:rPr>
              <w:footnoteReference w:id="1"/>
            </w:r>
          </w:p>
        </w:tc>
      </w:tr>
    </w:tbl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6"/>
        <w:gridCol w:w="10636"/>
      </w:tblGrid>
      <w:tr w:rsidR="00D347B7" w:rsidRPr="00D347B7" w:rsidTr="00D347B7">
        <w:tc>
          <w:tcPr>
            <w:tcW w:w="14142" w:type="dxa"/>
            <w:gridSpan w:val="2"/>
            <w:shd w:val="clear" w:color="auto" w:fill="FABF8F"/>
          </w:tcPr>
          <w:p w:rsidR="00D347B7" w:rsidRPr="00D347B7" w:rsidRDefault="00D347B7" w:rsidP="00D347B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Základné údaje o projekte</w:t>
            </w:r>
            <w:r w:rsidRPr="00D347B7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2"/>
            </w: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projektu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Kód ITMS2014+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Prijímateľ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Partner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Riadiaci orgán 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D347B7">
        <w:tc>
          <w:tcPr>
            <w:tcW w:w="3369" w:type="dxa"/>
            <w:shd w:val="clear" w:color="auto" w:fill="D9D9D9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Sprostredkovateľský orgán</w:t>
            </w:r>
          </w:p>
        </w:tc>
        <w:tc>
          <w:tcPr>
            <w:tcW w:w="1077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02"/>
        <w:gridCol w:w="1491"/>
        <w:gridCol w:w="1700"/>
        <w:gridCol w:w="1402"/>
        <w:gridCol w:w="1682"/>
        <w:gridCol w:w="1822"/>
        <w:gridCol w:w="1818"/>
        <w:gridCol w:w="2775"/>
      </w:tblGrid>
      <w:tr w:rsidR="00D347B7" w:rsidRPr="00D347B7" w:rsidTr="00D347B7">
        <w:tc>
          <w:tcPr>
            <w:tcW w:w="14142" w:type="dxa"/>
            <w:gridSpan w:val="8"/>
            <w:shd w:val="clear" w:color="auto" w:fill="FABF8F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2. Vzťah aktivít a merateľných ukazovateľov projektu</w:t>
            </w:r>
          </w:p>
        </w:tc>
      </w:tr>
      <w:tr w:rsidR="00D347B7" w:rsidRPr="00D347B7" w:rsidTr="00D347B7">
        <w:trPr>
          <w:trHeight w:val="1265"/>
        </w:trPr>
        <w:tc>
          <w:tcPr>
            <w:tcW w:w="1304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Aktivity projektu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06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4"/>
            </w:r>
          </w:p>
        </w:tc>
        <w:tc>
          <w:tcPr>
            <w:tcW w:w="1417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6"/>
            </w:r>
          </w:p>
        </w:tc>
        <w:tc>
          <w:tcPr>
            <w:tcW w:w="1843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7"/>
            </w:r>
          </w:p>
        </w:tc>
        <w:tc>
          <w:tcPr>
            <w:tcW w:w="1843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8"/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9"/>
            </w:r>
          </w:p>
        </w:tc>
      </w:tr>
      <w:tr w:rsidR="00D347B7" w:rsidRPr="00D347B7" w:rsidTr="005532A3">
        <w:tc>
          <w:tcPr>
            <w:tcW w:w="1304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(1)</w:t>
            </w:r>
          </w:p>
        </w:tc>
        <w:tc>
          <w:tcPr>
            <w:tcW w:w="1493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706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417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701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843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843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2835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(8)=(7)/(6)</w:t>
            </w:r>
          </w:p>
        </w:tc>
      </w:tr>
      <w:tr w:rsidR="00D347B7" w:rsidRPr="00D347B7" w:rsidTr="005532A3">
        <w:tc>
          <w:tcPr>
            <w:tcW w:w="1304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D347B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10"/>
            </w:r>
          </w:p>
        </w:tc>
        <w:tc>
          <w:tcPr>
            <w:tcW w:w="149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6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5532A3">
        <w:tc>
          <w:tcPr>
            <w:tcW w:w="1304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sz w:val="24"/>
                <w:szCs w:val="24"/>
                <w:lang w:eastAsia="sk-SK"/>
              </w:rPr>
              <w:t>Poznámky k aktivite n</w:t>
            </w:r>
            <w:r w:rsidRPr="00D347B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11"/>
            </w:r>
          </w:p>
        </w:tc>
        <w:tc>
          <w:tcPr>
            <w:tcW w:w="12838" w:type="dxa"/>
            <w:gridSpan w:val="7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80"/>
        <w:gridCol w:w="2371"/>
        <w:gridCol w:w="1818"/>
        <w:gridCol w:w="1963"/>
        <w:gridCol w:w="1825"/>
        <w:gridCol w:w="1960"/>
        <w:gridCol w:w="2375"/>
      </w:tblGrid>
      <w:tr w:rsidR="00D347B7" w:rsidRPr="00D347B7" w:rsidTr="00D347B7">
        <w:tc>
          <w:tcPr>
            <w:tcW w:w="14142" w:type="dxa"/>
            <w:gridSpan w:val="7"/>
            <w:shd w:val="clear" w:color="auto" w:fill="FABF8F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3. Kumulatívne naplnenie merateľných ukazovateľov</w:t>
            </w:r>
            <w:r w:rsidRPr="00D347B7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12"/>
            </w:r>
          </w:p>
        </w:tc>
      </w:tr>
      <w:tr w:rsidR="00D347B7" w:rsidRPr="00D347B7" w:rsidTr="00D347B7">
        <w:trPr>
          <w:trHeight w:val="1012"/>
        </w:trPr>
        <w:tc>
          <w:tcPr>
            <w:tcW w:w="1680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3"/>
            </w:r>
          </w:p>
        </w:tc>
        <w:tc>
          <w:tcPr>
            <w:tcW w:w="2397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4"/>
            </w:r>
          </w:p>
        </w:tc>
        <w:tc>
          <w:tcPr>
            <w:tcW w:w="1843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5"/>
            </w:r>
          </w:p>
        </w:tc>
        <w:tc>
          <w:tcPr>
            <w:tcW w:w="1985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6"/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7"/>
            </w:r>
          </w:p>
        </w:tc>
        <w:tc>
          <w:tcPr>
            <w:tcW w:w="1985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8"/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D347B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9"/>
            </w:r>
          </w:p>
        </w:tc>
      </w:tr>
      <w:tr w:rsidR="00D347B7" w:rsidRPr="00D347B7" w:rsidTr="005532A3">
        <w:tc>
          <w:tcPr>
            <w:tcW w:w="1680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2397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843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985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842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985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2410" w:type="dxa"/>
            <w:vAlign w:val="center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(7)=(6)/(5)</w:t>
            </w:r>
          </w:p>
        </w:tc>
      </w:tr>
      <w:tr w:rsidR="00D347B7" w:rsidRPr="00D347B7" w:rsidTr="005532A3">
        <w:tc>
          <w:tcPr>
            <w:tcW w:w="1680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sz w:val="24"/>
                <w:szCs w:val="24"/>
                <w:lang w:eastAsia="sk-SK"/>
              </w:rPr>
              <w:t>Merateľný ukazovateľ n</w:t>
            </w:r>
            <w:r w:rsidRPr="00D347B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0"/>
            </w:r>
          </w:p>
        </w:tc>
        <w:tc>
          <w:tcPr>
            <w:tcW w:w="2397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347B7" w:rsidRPr="00D347B7" w:rsidTr="005532A3">
        <w:tc>
          <w:tcPr>
            <w:tcW w:w="1680" w:type="dxa"/>
          </w:tcPr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sz w:val="24"/>
                <w:szCs w:val="24"/>
                <w:lang w:eastAsia="sk-SK"/>
              </w:rPr>
              <w:t>Poznámky k merateľnému</w:t>
            </w:r>
          </w:p>
          <w:p w:rsidR="00D347B7" w:rsidRPr="00D347B7" w:rsidRDefault="00D347B7" w:rsidP="00D347B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347B7">
              <w:rPr>
                <w:rFonts w:ascii="Times New Roman" w:hAnsi="Times New Roman"/>
                <w:sz w:val="24"/>
                <w:szCs w:val="24"/>
                <w:lang w:eastAsia="sk-SK"/>
              </w:rPr>
              <w:t>ukazovateľu n</w:t>
            </w:r>
            <w:r w:rsidRPr="00D347B7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1"/>
            </w:r>
          </w:p>
        </w:tc>
        <w:tc>
          <w:tcPr>
            <w:tcW w:w="12462" w:type="dxa"/>
            <w:gridSpan w:val="6"/>
          </w:tcPr>
          <w:p w:rsidR="00D347B7" w:rsidRPr="00D347B7" w:rsidRDefault="00D347B7" w:rsidP="00D347B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0"/>
      </w:tblGrid>
      <w:tr w:rsidR="00D347B7" w:rsidRPr="00D347B7" w:rsidTr="00D347B7">
        <w:tc>
          <w:tcPr>
            <w:tcW w:w="5000" w:type="pct"/>
            <w:shd w:val="clear" w:color="auto" w:fill="FABF8F"/>
          </w:tcPr>
          <w:p w:rsidR="00D347B7" w:rsidRPr="00D347B7" w:rsidRDefault="00D347B7" w:rsidP="00D3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47B7">
              <w:rPr>
                <w:rFonts w:ascii="Times New Roman" w:eastAsia="Times New Roman" w:hAnsi="Times New Roman" w:cs="Times New Roman"/>
                <w:b/>
                <w:sz w:val="28"/>
                <w:lang w:eastAsia="sk-SK"/>
              </w:rPr>
              <w:t>3</w:t>
            </w:r>
            <w:r w:rsidRPr="00D3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. </w:t>
            </w:r>
            <w:r w:rsidRPr="00D347B7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ABF8F"/>
                <w:lang w:eastAsia="sk-SK"/>
              </w:rPr>
              <w:t>Identifikované problémy, riziká a ďalšie informácie  v  súvislosti s realizáciou projektu</w:t>
            </w:r>
            <w:r w:rsidRPr="00D347B7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ABF8F"/>
                <w:vertAlign w:val="superscript"/>
                <w:lang w:eastAsia="sk-SK"/>
              </w:rPr>
              <w:footnoteReference w:id="22"/>
            </w:r>
          </w:p>
        </w:tc>
      </w:tr>
      <w:tr w:rsidR="00D347B7" w:rsidRPr="00D347B7" w:rsidTr="005532A3">
        <w:tc>
          <w:tcPr>
            <w:tcW w:w="5000" w:type="pct"/>
          </w:tcPr>
          <w:p w:rsidR="00D347B7" w:rsidRPr="00D347B7" w:rsidRDefault="00D347B7" w:rsidP="00D3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D347B7" w:rsidRPr="00D347B7" w:rsidRDefault="00D347B7" w:rsidP="00D3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27A2" w:rsidRDefault="007627A2"/>
    <w:sectPr w:rsidR="007627A2" w:rsidSect="005E51A4">
      <w:headerReference w:type="first" r:id="rId7"/>
      <w:footerReference w:type="first" r:id="rId8"/>
      <w:pgSz w:w="16838" w:h="11906" w:orient="landscape"/>
      <w:pgMar w:top="1418" w:right="1418" w:bottom="1418" w:left="1418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4D" w:rsidRDefault="00B96F4D" w:rsidP="00D347B7">
      <w:pPr>
        <w:spacing w:after="0" w:line="240" w:lineRule="auto"/>
      </w:pPr>
      <w:r>
        <w:separator/>
      </w:r>
    </w:p>
  </w:endnote>
  <w:endnote w:type="continuationSeparator" w:id="0">
    <w:p w:rsidR="00B96F4D" w:rsidRDefault="00B96F4D" w:rsidP="00D3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7F" w:rsidRPr="0004107F" w:rsidRDefault="00D45C07" w:rsidP="0004107F">
    <w:pPr>
      <w:tabs>
        <w:tab w:val="center" w:pos="4536"/>
        <w:tab w:val="right" w:pos="9072"/>
      </w:tabs>
      <w:jc w:val="right"/>
    </w:pPr>
    <w:r w:rsidRPr="0004107F">
      <w:t xml:space="preserve"> </w:t>
    </w:r>
  </w:p>
  <w:p w:rsidR="0004107F" w:rsidRPr="0004107F" w:rsidRDefault="00D45C07" w:rsidP="0004107F">
    <w:pPr>
      <w:tabs>
        <w:tab w:val="center" w:pos="4536"/>
        <w:tab w:val="right" w:pos="9072"/>
      </w:tabs>
      <w:jc w:val="right"/>
    </w:pPr>
    <w:r w:rsidRPr="0004107F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Pr="0004107F">
          <w:fldChar w:fldCharType="begin"/>
        </w:r>
        <w:r w:rsidRPr="0004107F">
          <w:instrText>PAGE   \* MERGEFORMAT</w:instrText>
        </w:r>
        <w:r w:rsidRPr="0004107F">
          <w:fldChar w:fldCharType="separate"/>
        </w:r>
        <w:r w:rsidR="001F648F">
          <w:rPr>
            <w:noProof/>
          </w:rPr>
          <w:t>1</w:t>
        </w:r>
        <w:r w:rsidRPr="0004107F">
          <w:fldChar w:fldCharType="end"/>
        </w:r>
      </w:sdtContent>
    </w:sdt>
  </w:p>
  <w:p w:rsidR="004D0F36" w:rsidRDefault="001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4D" w:rsidRDefault="00B96F4D" w:rsidP="00D347B7">
      <w:pPr>
        <w:spacing w:after="0" w:line="240" w:lineRule="auto"/>
      </w:pPr>
      <w:r>
        <w:separator/>
      </w:r>
    </w:p>
  </w:footnote>
  <w:footnote w:type="continuationSeparator" w:id="0">
    <w:p w:rsidR="00B96F4D" w:rsidRDefault="00B96F4D" w:rsidP="00D347B7">
      <w:pPr>
        <w:spacing w:after="0" w:line="240" w:lineRule="auto"/>
      </w:pPr>
      <w:r>
        <w:continuationSeparator/>
      </w:r>
    </w:p>
  </w:footnote>
  <w:footnote w:id="1">
    <w:p w:rsidR="00D347B7" w:rsidRPr="00631ED3" w:rsidRDefault="00D347B7" w:rsidP="00FB4FD0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31ED3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rijímateľ predkladá predmetnú prílohu</w:t>
      </w:r>
      <w:r w:rsidRPr="00631ED3">
        <w:rPr>
          <w:rFonts w:ascii="Arial Narrow" w:hAnsi="Arial Narrow"/>
          <w:sz w:val="18"/>
          <w:szCs w:val="18"/>
        </w:rPr>
        <w:t xml:space="preserve"> v prípade, ak </w:t>
      </w:r>
      <w:r>
        <w:rPr>
          <w:rFonts w:ascii="Arial Narrow" w:hAnsi="Arial Narrow"/>
          <w:sz w:val="18"/>
          <w:szCs w:val="18"/>
        </w:rPr>
        <w:t xml:space="preserve">nepredložil žiadnu žiadosť o platbu - </w:t>
      </w:r>
      <w:r w:rsidRPr="00631ED3">
        <w:rPr>
          <w:rFonts w:ascii="Arial Narrow" w:hAnsi="Arial Narrow"/>
          <w:sz w:val="18"/>
          <w:szCs w:val="18"/>
        </w:rPr>
        <w:t xml:space="preserve"> </w:t>
      </w:r>
      <w:r w:rsidRPr="002D0C7E">
        <w:rPr>
          <w:rFonts w:ascii="Arial Narrow" w:hAnsi="Arial Narrow"/>
          <w:sz w:val="18"/>
          <w:szCs w:val="18"/>
        </w:rPr>
        <w:t xml:space="preserve">zúčtovanie zálohovej platby, </w:t>
      </w:r>
      <w:r>
        <w:rPr>
          <w:rFonts w:ascii="Arial Narrow" w:hAnsi="Arial Narrow"/>
          <w:sz w:val="18"/>
          <w:szCs w:val="18"/>
        </w:rPr>
        <w:t xml:space="preserve">priebežnú platbu a poskytnutie </w:t>
      </w:r>
      <w:proofErr w:type="spellStart"/>
      <w:r>
        <w:rPr>
          <w:rFonts w:ascii="Arial Narrow" w:hAnsi="Arial Narrow"/>
          <w:sz w:val="18"/>
          <w:szCs w:val="18"/>
        </w:rPr>
        <w:t>predfinancovania</w:t>
      </w:r>
      <w:proofErr w:type="spellEnd"/>
      <w:r w:rsidRPr="00631ED3">
        <w:rPr>
          <w:rFonts w:ascii="Arial Narrow" w:hAnsi="Arial Narrow"/>
          <w:sz w:val="18"/>
          <w:szCs w:val="18"/>
        </w:rPr>
        <w:t xml:space="preserve"> do šiestich mesi</w:t>
      </w:r>
      <w:r>
        <w:rPr>
          <w:rFonts w:ascii="Arial Narrow" w:hAnsi="Arial Narrow"/>
          <w:sz w:val="18"/>
          <w:szCs w:val="18"/>
        </w:rPr>
        <w:t>acov od nadobudnutia účinnosti z</w:t>
      </w:r>
      <w:r w:rsidRPr="00631ED3">
        <w:rPr>
          <w:rFonts w:ascii="Arial Narrow" w:hAnsi="Arial Narrow"/>
          <w:sz w:val="18"/>
          <w:szCs w:val="18"/>
        </w:rPr>
        <w:t xml:space="preserve">mluvy o poskytnutí NFP a zároveň ešte neboli naplnené podmienky na zaslanie monitorovacej správy </w:t>
      </w:r>
      <w:r>
        <w:rPr>
          <w:rFonts w:ascii="Arial Narrow" w:hAnsi="Arial Narrow"/>
          <w:sz w:val="18"/>
          <w:szCs w:val="18"/>
        </w:rPr>
        <w:t>p</w:t>
      </w:r>
      <w:r w:rsidRPr="00631ED3">
        <w:rPr>
          <w:rFonts w:ascii="Arial Narrow" w:hAnsi="Arial Narrow"/>
          <w:sz w:val="18"/>
          <w:szCs w:val="18"/>
        </w:rPr>
        <w:t xml:space="preserve">rojektu (s príznakom </w:t>
      </w:r>
      <w:r w:rsidR="00CF40B1">
        <w:rPr>
          <w:rFonts w:ascii="Arial Narrow" w:hAnsi="Arial Narrow"/>
          <w:sz w:val="18"/>
          <w:szCs w:val="18"/>
        </w:rPr>
        <w:t>„</w:t>
      </w:r>
      <w:r w:rsidRPr="00631ED3">
        <w:rPr>
          <w:rFonts w:ascii="Arial Narrow" w:hAnsi="Arial Narrow"/>
          <w:sz w:val="18"/>
          <w:szCs w:val="18"/>
        </w:rPr>
        <w:t>výročná“)</w:t>
      </w:r>
      <w:r>
        <w:rPr>
          <w:rFonts w:ascii="Arial Narrow" w:hAnsi="Arial Narrow"/>
          <w:sz w:val="18"/>
          <w:szCs w:val="18"/>
        </w:rPr>
        <w:t xml:space="preserve">, príp. ak </w:t>
      </w:r>
      <w:r w:rsidR="00B33630">
        <w:rPr>
          <w:rFonts w:ascii="Arial Narrow" w:hAnsi="Arial Narrow"/>
          <w:sz w:val="18"/>
          <w:szCs w:val="18"/>
        </w:rPr>
        <w:t>sprostredkovateľský orgán</w:t>
      </w:r>
      <w:r w:rsidR="00C3380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o takéto informácie požiada. </w:t>
      </w:r>
    </w:p>
  </w:footnote>
  <w:footnote w:id="2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</w:p>
  </w:footnote>
  <w:footnote w:id="3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vo vzťahu k daným hlavným aktivitám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4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5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6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7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 w:rsidR="00E372C9"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merateľného ukazovateľa </w:t>
      </w:r>
      <w:r w:rsidRPr="00751238">
        <w:rPr>
          <w:rFonts w:ascii="Arial Narrow" w:hAnsi="Arial Narrow"/>
          <w:sz w:val="18"/>
          <w:szCs w:val="18"/>
        </w:rPr>
        <w:t>v zmysle zmluvy o poskytnutí nenávratného finančného príspevku</w:t>
      </w:r>
      <w:r>
        <w:rPr>
          <w:rFonts w:ascii="Arial Narrow" w:hAnsi="Arial Narrow"/>
          <w:sz w:val="18"/>
          <w:szCs w:val="18"/>
        </w:rPr>
        <w:t>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8">
    <w:p w:rsidR="00D347B7" w:rsidRDefault="00D347B7" w:rsidP="00FB4FD0">
      <w:pPr>
        <w:pStyle w:val="Textpoznmkypodiarou"/>
        <w:jc w:val="both"/>
      </w:pPr>
      <w:r w:rsidRPr="00DF18AF">
        <w:rPr>
          <w:rStyle w:val="Odkaznapoznmkupodiarou"/>
        </w:rPr>
        <w:footnoteRef/>
      </w:r>
      <w:r w:rsidRPr="00DF18AF">
        <w:t xml:space="preserve"> </w:t>
      </w:r>
      <w:r w:rsidRPr="00DF18AF">
        <w:rPr>
          <w:rFonts w:ascii="Arial Narrow" w:hAnsi="Arial Narrow"/>
          <w:sz w:val="18"/>
          <w:szCs w:val="18"/>
        </w:rPr>
        <w:t xml:space="preserve">Uvádza sa kumulatívna hodnota merateľného ukazovateľa nameraná </w:t>
      </w:r>
      <w:r>
        <w:rPr>
          <w:rFonts w:ascii="Arial Narrow" w:hAnsi="Arial Narrow"/>
          <w:sz w:val="18"/>
          <w:szCs w:val="18"/>
        </w:rPr>
        <w:t xml:space="preserve">vo vzťahu k aktivite projektu ku dňu uplynutia šesťmesačnej lehoty, </w:t>
      </w:r>
      <w:proofErr w:type="spellStart"/>
      <w:r>
        <w:rPr>
          <w:rFonts w:ascii="Arial Narrow" w:hAnsi="Arial Narrow"/>
          <w:sz w:val="18"/>
          <w:szCs w:val="18"/>
        </w:rPr>
        <w:t>t.j</w:t>
      </w:r>
      <w:proofErr w:type="spellEnd"/>
      <w:r>
        <w:rPr>
          <w:rFonts w:ascii="Arial Narrow" w:hAnsi="Arial Narrow"/>
          <w:sz w:val="18"/>
          <w:szCs w:val="18"/>
        </w:rPr>
        <w:t>. súhrnná hodnota</w:t>
      </w:r>
      <w:r w:rsidRPr="00DF18AF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 xml:space="preserve">od začiatku realizácie projektu do uplynutia šesťmesačnej lehoty, príp. do času, ktorý určí </w:t>
      </w:r>
      <w:r w:rsidR="00B76D1B">
        <w:rPr>
          <w:rFonts w:ascii="Arial Narrow" w:hAnsi="Arial Narrow"/>
          <w:sz w:val="18"/>
          <w:szCs w:val="18"/>
        </w:rPr>
        <w:t>sprostredkovateľský orgán</w:t>
      </w:r>
      <w:r>
        <w:rPr>
          <w:rFonts w:ascii="Arial Narrow" w:hAnsi="Arial Narrow"/>
          <w:sz w:val="18"/>
          <w:szCs w:val="18"/>
        </w:rPr>
        <w:t xml:space="preserve">. </w:t>
      </w:r>
    </w:p>
  </w:footnote>
  <w:footnote w:id="9">
    <w:p w:rsidR="00D347B7" w:rsidRDefault="00D347B7" w:rsidP="00FB4FD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>(stĺpe</w:t>
      </w:r>
      <w:r w:rsidR="00CD02F7">
        <w:rPr>
          <w:rFonts w:ascii="Arial Narrow" w:hAnsi="Arial Narrow"/>
          <w:sz w:val="18"/>
          <w:szCs w:val="18"/>
        </w:rPr>
        <w:t>c</w:t>
      </w:r>
      <w:r>
        <w:rPr>
          <w:rFonts w:ascii="Arial Narrow" w:hAnsi="Arial Narrow"/>
          <w:sz w:val="18"/>
          <w:szCs w:val="18"/>
        </w:rPr>
        <w:t xml:space="preserve"> č. 7)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6)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10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hlavné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príspevku. V prípade, ak aktivita prispieva k napĺňaniu viacerých merateľných ukazovateľov uvedie sa viackrát tá istá aktivita. </w:t>
      </w:r>
    </w:p>
  </w:footnote>
  <w:footnote w:id="11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aktivity za obdobie od začiatku realizácie </w:t>
      </w:r>
      <w:r>
        <w:rPr>
          <w:rFonts w:ascii="Arial Narrow" w:hAnsi="Arial Narrow"/>
          <w:sz w:val="18"/>
          <w:szCs w:val="18"/>
        </w:rPr>
        <w:t xml:space="preserve">aktivít projektu ku dňu uplynutia šesťmesačnej lehoty, resp. do času, ktorý určí </w:t>
      </w:r>
      <w:r w:rsidR="00CD02F7">
        <w:rPr>
          <w:rFonts w:ascii="Arial Narrow" w:hAnsi="Arial Narrow"/>
          <w:sz w:val="18"/>
          <w:szCs w:val="18"/>
        </w:rPr>
        <w:t>sprostredkovateľský orgán</w:t>
      </w:r>
      <w:r>
        <w:rPr>
          <w:rFonts w:ascii="Arial Narrow" w:hAnsi="Arial Narrow"/>
          <w:sz w:val="18"/>
          <w:szCs w:val="18"/>
        </w:rPr>
        <w:t>,</w:t>
      </w:r>
      <w:r w:rsidRPr="00CB4790">
        <w:rPr>
          <w:rFonts w:ascii="Arial Narrow" w:hAnsi="Arial Narrow"/>
          <w:sz w:val="18"/>
          <w:szCs w:val="18"/>
        </w:rPr>
        <w:t xml:space="preserve"> </w:t>
      </w:r>
      <w:r w:rsidRPr="00AF34B8">
        <w:rPr>
          <w:rFonts w:ascii="Arial Narrow" w:hAnsi="Arial Narrow"/>
          <w:sz w:val="18"/>
          <w:szCs w:val="18"/>
        </w:rPr>
        <w:t xml:space="preserve">popis zapojenia partnerov projektu (ak relevantné), popis prípadných zmien počas realizácie aktivít </w:t>
      </w:r>
      <w:r w:rsidRPr="00CB4790">
        <w:rPr>
          <w:rFonts w:ascii="Arial Narrow" w:hAnsi="Arial Narrow"/>
          <w:sz w:val="18"/>
          <w:szCs w:val="18"/>
        </w:rPr>
        <w:t>a taktiež prípadné problémy s predmetnou aktivitou</w:t>
      </w:r>
      <w:r>
        <w:rPr>
          <w:rFonts w:ascii="Arial Narrow" w:hAnsi="Arial Narrow"/>
          <w:sz w:val="18"/>
          <w:szCs w:val="18"/>
        </w:rPr>
        <w:t xml:space="preserve"> a opatrenia prijaté na elimináciu týchto problémov.</w:t>
      </w:r>
    </w:p>
  </w:footnote>
  <w:footnote w:id="12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>jú</w:t>
      </w:r>
      <w:r w:rsidRPr="0068718A">
        <w:rPr>
          <w:rFonts w:ascii="Arial Narrow" w:hAnsi="Arial Narrow"/>
          <w:sz w:val="18"/>
          <w:szCs w:val="18"/>
        </w:rPr>
        <w:t xml:space="preserve"> sa údaj</w:t>
      </w:r>
      <w:r>
        <w:rPr>
          <w:rFonts w:ascii="Arial Narrow" w:hAnsi="Arial Narrow"/>
          <w:sz w:val="18"/>
          <w:szCs w:val="18"/>
        </w:rPr>
        <w:t>e</w:t>
      </w:r>
      <w:r w:rsidRPr="0068718A">
        <w:rPr>
          <w:rFonts w:ascii="Arial Narrow" w:hAnsi="Arial Narrow"/>
          <w:sz w:val="18"/>
          <w:szCs w:val="18"/>
        </w:rPr>
        <w:t xml:space="preserve"> od začiatku realizácie projektu </w:t>
      </w:r>
      <w:r>
        <w:rPr>
          <w:rFonts w:ascii="Arial Narrow" w:hAnsi="Arial Narrow"/>
          <w:sz w:val="18"/>
          <w:szCs w:val="18"/>
        </w:rPr>
        <w:t xml:space="preserve">ku dňu uplynutia šesťmesačnej lehoty, resp. do času, ktorý určí </w:t>
      </w:r>
      <w:r w:rsidR="003F1676">
        <w:rPr>
          <w:rFonts w:ascii="Arial Narrow" w:hAnsi="Arial Narrow"/>
          <w:sz w:val="18"/>
          <w:szCs w:val="18"/>
        </w:rPr>
        <w:t>sprostredkovateľský orgán</w:t>
      </w:r>
      <w:r w:rsidRPr="0068718A">
        <w:rPr>
          <w:rFonts w:ascii="Arial Narrow" w:hAnsi="Arial Narrow"/>
          <w:sz w:val="18"/>
          <w:szCs w:val="18"/>
        </w:rPr>
        <w:t xml:space="preserve">. </w:t>
      </w:r>
    </w:p>
  </w:footnote>
  <w:footnote w:id="13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4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15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16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7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merateľných ukazovateľov </w:t>
      </w:r>
      <w:r w:rsidRPr="00751238">
        <w:rPr>
          <w:rFonts w:ascii="Arial Narrow" w:hAnsi="Arial Narrow"/>
          <w:sz w:val="18"/>
          <w:szCs w:val="18"/>
        </w:rPr>
        <w:t>v 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18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F18AF">
        <w:rPr>
          <w:rFonts w:ascii="Arial Narrow" w:hAnsi="Arial Narrow"/>
          <w:sz w:val="18"/>
          <w:szCs w:val="18"/>
        </w:rPr>
        <w:t xml:space="preserve">Uvádza sa kumulatívna hodnota merateľného ukazovateľa nameraná </w:t>
      </w:r>
      <w:r>
        <w:rPr>
          <w:rFonts w:ascii="Arial Narrow" w:hAnsi="Arial Narrow"/>
          <w:sz w:val="18"/>
          <w:szCs w:val="18"/>
        </w:rPr>
        <w:t xml:space="preserve">ku dňu uplynutia šesťmesačnej lehoty, </w:t>
      </w:r>
      <w:proofErr w:type="spellStart"/>
      <w:r>
        <w:rPr>
          <w:rFonts w:ascii="Arial Narrow" w:hAnsi="Arial Narrow"/>
          <w:sz w:val="18"/>
          <w:szCs w:val="18"/>
        </w:rPr>
        <w:t>t.j</w:t>
      </w:r>
      <w:proofErr w:type="spellEnd"/>
      <w:r>
        <w:rPr>
          <w:rFonts w:ascii="Arial Narrow" w:hAnsi="Arial Narrow"/>
          <w:sz w:val="18"/>
          <w:szCs w:val="18"/>
        </w:rPr>
        <w:t>. súhrnná hodnota</w:t>
      </w:r>
      <w:r w:rsidRPr="00DF18AF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 xml:space="preserve">od začiatku realizácie projektu do uplynutia šesťmesačnej lehoty, príp. do času, ktorý určí </w:t>
      </w:r>
      <w:r w:rsidR="00CD02F7">
        <w:rPr>
          <w:rFonts w:ascii="Arial Narrow" w:hAnsi="Arial Narrow"/>
          <w:sz w:val="18"/>
          <w:szCs w:val="18"/>
        </w:rPr>
        <w:t>sprostredkovateľský orgán</w:t>
      </w:r>
      <w:r>
        <w:rPr>
          <w:rFonts w:ascii="Arial Narrow" w:hAnsi="Arial Narrow"/>
          <w:sz w:val="18"/>
          <w:szCs w:val="18"/>
        </w:rPr>
        <w:t>.</w:t>
      </w:r>
    </w:p>
  </w:footnote>
  <w:footnote w:id="19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>(stĺpe</w:t>
      </w:r>
      <w:r w:rsidR="00DC4176">
        <w:rPr>
          <w:rFonts w:ascii="Arial Narrow" w:hAnsi="Arial Narrow"/>
          <w:sz w:val="18"/>
          <w:szCs w:val="18"/>
        </w:rPr>
        <w:t>c</w:t>
      </w:r>
      <w:r>
        <w:rPr>
          <w:rFonts w:ascii="Arial Narrow" w:hAnsi="Arial Narrow"/>
          <w:sz w:val="18"/>
          <w:szCs w:val="18"/>
        </w:rPr>
        <w:t xml:space="preserve"> č. 6)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5)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20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merateľné ukazovatele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1">
    <w:p w:rsidR="00D347B7" w:rsidRDefault="00D347B7" w:rsidP="00D347B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</w:t>
      </w:r>
      <w:r>
        <w:rPr>
          <w:rFonts w:ascii="Arial Narrow" w:hAnsi="Arial Narrow"/>
          <w:sz w:val="18"/>
          <w:szCs w:val="18"/>
        </w:rPr>
        <w:t>napĺňania merateľných ukazovateľov</w:t>
      </w:r>
      <w:r w:rsidRPr="00CB4790">
        <w:rPr>
          <w:rFonts w:ascii="Arial Narrow" w:hAnsi="Arial Narrow"/>
          <w:sz w:val="18"/>
          <w:szCs w:val="18"/>
        </w:rPr>
        <w:t xml:space="preserve"> od začiatku realizácie </w:t>
      </w:r>
      <w:r>
        <w:rPr>
          <w:rFonts w:ascii="Arial Narrow" w:hAnsi="Arial Narrow"/>
          <w:sz w:val="18"/>
          <w:szCs w:val="18"/>
        </w:rPr>
        <w:t xml:space="preserve">projektu ku dňu uplynutia šesťmesačnej lehoty, príp. do času, ktorý určí </w:t>
      </w:r>
      <w:r w:rsidR="003F1676">
        <w:rPr>
          <w:rFonts w:ascii="Arial Narrow" w:hAnsi="Arial Narrow"/>
          <w:sz w:val="18"/>
          <w:szCs w:val="18"/>
        </w:rPr>
        <w:t>sprostredkovateľský orgán</w:t>
      </w:r>
      <w:r>
        <w:rPr>
          <w:rFonts w:ascii="Arial Narrow" w:hAnsi="Arial Narrow"/>
          <w:sz w:val="18"/>
          <w:szCs w:val="18"/>
        </w:rPr>
        <w:t>.</w:t>
      </w:r>
    </w:p>
  </w:footnote>
  <w:footnote w:id="22">
    <w:p w:rsidR="00D347B7" w:rsidRDefault="00D347B7" w:rsidP="00D347B7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Prijímateľ stručne uvedie informácie o prípadných skutočnostiach, ktoré ohrozujú realizáciu projektu, resp. majú alebo môžu mať vplyv na plnenie povinností vyplývajúcich zo zmluvy o poskytnutí nenávratného finančného príspevku</w:t>
      </w:r>
      <w:r>
        <w:rPr>
          <w:rFonts w:ascii="Arial Narrow" w:hAnsi="Arial Narrow"/>
          <w:sz w:val="18"/>
          <w:szCs w:val="18"/>
        </w:rPr>
        <w:t>, ďalej o rizikách, ktoré vznikli v súvislosti s realizáciou projektu a opatreniach prijatých na ich elimináciu a iných údajoch týkajúcich sa realizácie projektu</w:t>
      </w:r>
      <w:r w:rsidR="00A12B43">
        <w:rPr>
          <w:rFonts w:ascii="Arial Narrow" w:hAnsi="Arial Narrow"/>
          <w:sz w:val="18"/>
          <w:szCs w:val="18"/>
        </w:rPr>
        <w:t xml:space="preserve"> </w:t>
      </w:r>
      <w:r w:rsidRPr="00E836BC">
        <w:rPr>
          <w:rFonts w:ascii="Arial Narrow" w:hAnsi="Arial Narrow"/>
          <w:sz w:val="18"/>
          <w:szCs w:val="18"/>
        </w:rPr>
        <w:t>(prijímateľ vypĺňa v prípade, ak predmetné problémy sú prierezového charakteru vo vzťahu k viacerým aktivitám, príp. sa týkajú iných oblastí projektu ako je realizácia aktivít napr. environmentálne požiadavky – EIA, NATURA 2000).</w:t>
      </w:r>
      <w:r w:rsidR="007018CB">
        <w:rPr>
          <w:rFonts w:ascii="Arial Narrow" w:hAnsi="Arial Narrow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37" w:rsidRDefault="003447F6" w:rsidP="00703137">
    <w:pPr>
      <w:pStyle w:val="Hlavika"/>
    </w:pPr>
    <w:r w:rsidRPr="006D4D15">
      <w:rPr>
        <w:noProof/>
      </w:rPr>
      <w:drawing>
        <wp:anchor distT="0" distB="0" distL="114300" distR="114300" simplePos="0" relativeHeight="251660288" behindDoc="0" locked="0" layoutInCell="1" allowOverlap="1" wp14:anchorId="507A044B" wp14:editId="74039413">
          <wp:simplePos x="0" y="0"/>
          <wp:positionH relativeFrom="margin">
            <wp:posOffset>5448631</wp:posOffset>
          </wp:positionH>
          <wp:positionV relativeFrom="paragraph">
            <wp:posOffset>7721</wp:posOffset>
          </wp:positionV>
          <wp:extent cx="1624965" cy="523875"/>
          <wp:effectExtent l="0" t="0" r="0" b="0"/>
          <wp:wrapThrough wrapText="bothSides">
            <wp:wrapPolygon edited="0">
              <wp:start x="5571" y="3927"/>
              <wp:lineTo x="1773" y="5498"/>
              <wp:lineTo x="1519" y="10211"/>
              <wp:lineTo x="2279" y="16495"/>
              <wp:lineTo x="14687" y="16495"/>
              <wp:lineTo x="19498" y="8640"/>
              <wp:lineTo x="19751" y="5498"/>
              <wp:lineTo x="16966" y="3927"/>
              <wp:lineTo x="5571" y="3927"/>
            </wp:wrapPolygon>
          </wp:wrapThrough>
          <wp:docPr id="21" name="Obrázok 21" descr="U:\OROPIS\Nové programové obdobie 2014 -2020\DELIMITACIA Urad PVPIaI\logo UPV SR II\UPV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:\OROPIS\Nové programové obdobie 2014 -2020\DELIMITACIA Urad PVPIaI\logo UPV SR II\UPVS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7F6" w:rsidRDefault="000A0744" w:rsidP="003447F6">
    <w:pPr>
      <w:pStyle w:val="Hlavika"/>
    </w:pPr>
    <w:r>
      <w:t xml:space="preserve">                                                   </w:t>
    </w:r>
    <w:r w:rsidRPr="008C0C75">
      <w:rPr>
        <w:noProof/>
      </w:rPr>
      <w:drawing>
        <wp:inline distT="0" distB="0" distL="0" distR="0" wp14:anchorId="61101186" wp14:editId="407D1945">
          <wp:extent cx="3102610" cy="359410"/>
          <wp:effectExtent l="0" t="0" r="2540" b="2540"/>
          <wp:docPr id="6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07F" w:rsidRDefault="001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260"/>
    <w:multiLevelType w:val="hybridMultilevel"/>
    <w:tmpl w:val="BB8EEF84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58"/>
    <w:rsid w:val="000A0744"/>
    <w:rsid w:val="000D3703"/>
    <w:rsid w:val="00132B58"/>
    <w:rsid w:val="001F648F"/>
    <w:rsid w:val="002D63CB"/>
    <w:rsid w:val="003447F6"/>
    <w:rsid w:val="003F1676"/>
    <w:rsid w:val="00672D46"/>
    <w:rsid w:val="007018CB"/>
    <w:rsid w:val="00703137"/>
    <w:rsid w:val="007627A2"/>
    <w:rsid w:val="0084359D"/>
    <w:rsid w:val="00A12B43"/>
    <w:rsid w:val="00B33630"/>
    <w:rsid w:val="00B76D1B"/>
    <w:rsid w:val="00B80FE7"/>
    <w:rsid w:val="00B96F4D"/>
    <w:rsid w:val="00C000C9"/>
    <w:rsid w:val="00C3380E"/>
    <w:rsid w:val="00CD02F7"/>
    <w:rsid w:val="00CF40B1"/>
    <w:rsid w:val="00D347B7"/>
    <w:rsid w:val="00D45C07"/>
    <w:rsid w:val="00D7401A"/>
    <w:rsid w:val="00DB17CC"/>
    <w:rsid w:val="00DC4176"/>
    <w:rsid w:val="00E372C9"/>
    <w:rsid w:val="00E8555D"/>
    <w:rsid w:val="00ED1FE7"/>
    <w:rsid w:val="00F57453"/>
    <w:rsid w:val="00F770E7"/>
    <w:rsid w:val="00F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30FAAB-533D-444C-8143-F7F0DD7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4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347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4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347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D3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D347B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D347B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D347B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D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 Zuzana</dc:creator>
  <cp:keywords/>
  <dc:description/>
  <cp:lastModifiedBy>Zuzana Čupková</cp:lastModifiedBy>
  <cp:revision>30</cp:revision>
  <dcterms:created xsi:type="dcterms:W3CDTF">2015-08-27T14:16:00Z</dcterms:created>
  <dcterms:modified xsi:type="dcterms:W3CDTF">2017-01-09T09:59:00Z</dcterms:modified>
</cp:coreProperties>
</file>